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9002B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Convenção Coletiva De Trabalho 2012/2013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9002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9002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9002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RS001060/2012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9002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9002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9002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22/06/2012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9002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9002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9002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MR030797/2012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9002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9002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9002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46218.007957/2012-84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9002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9002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9002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20/06/2012 </w:t>
                        </w:r>
                      </w:p>
                    </w:tc>
                  </w:tr>
                </w:tbl>
                <w:p w:rsidR="00000000" w:rsidRDefault="00A9002B">
                  <w:pPr>
                    <w:rPr>
                      <w:rFonts w:eastAsia="Times New Roman"/>
                    </w:rPr>
                  </w:pPr>
                </w:p>
                <w:p w:rsidR="00000000" w:rsidRDefault="00A9002B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000000" w:rsidRDefault="00A9002B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A9002B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SINDICATO TRABALH INDUST CON ST MOBILARIO PASSO FUNDO, CNPJ n. 92.046.895/0001-13, neste ato representado(a) por seu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Presidente, Sr(a). EDSON PEREIRA DE FREITAS;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DAS INDUSTRIAS DE MARMORES, GRANITOS E ROCHAS ORNAMENTAIS DO ESTADO DO RIO GRANDE DO SUL, CNPJ n. 92.757.723/0001-58, neste ato representado(a) por seu Presidente, Sr(a). ALEXANDRE BITTENCOURT 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CARLI;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a presente CONVENÇÃO COLETIVA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da presente Convenção Coletiva de Trabalho no perí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odo de 1º de maio de 2012 a 30 de abril de 2013 e a data-base da categoria em 1º de maio.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presente Convenção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Trabalhadores nas Industrias da Construção e do Mobiliário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Água Santa/RS, Camargo/RS, Casca/RS, Caseiros/RS, Charrua/RS, Ciríaco/RS, Coxilha/RS, David Canabarro/RS, Erebango/RS, Ernestina/RS, Estação/RS, Gentil/RS, Getúlio Vargas/RS, Ibiaçá/RS, Ibiraiaras/RS, Ipiranga do Sul/RS, Mara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u/RS, Mato Castelhano/RS, Montauri/RS, Muliterno/RS, Nova Alvorada/RS, Passo Fundo/RS, Pontão/RS, Sananduva/RS, São Domingos do Sul/RS, Serafina Corrêa/RS, Sertão/RS, Tapejara/RS, Vanini/RS, Victor Graeff/RS e Vila Maria/RS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Salários, Reajustes e Pagame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SALÁRIO NORMATIVO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rPr>
                      <w:b/>
                    </w:rPr>
                    <w:t>a)</w:t>
                  </w:r>
                  <w:r>
                    <w:t xml:space="preserve"> Aos empregados admitidos após a data base e aos que vierem ser admitidos durante a vigência da presente convenção, fica assegurado um </w:t>
                  </w:r>
                  <w:r>
                    <w:rPr>
                      <w:rStyle w:val="Forte"/>
                    </w:rPr>
                    <w:t>salário normativo mínimo de R$ 702,00 (setecentos e doi</w:t>
                  </w:r>
                  <w:r>
                    <w:rPr>
                      <w:rStyle w:val="Forte"/>
                    </w:rPr>
                    <w:t xml:space="preserve">s reais ) </w:t>
                  </w:r>
                  <w:r>
                    <w:t>mensais, valor este que formará base para eventuais procedimentos coletivos futuros de qualquer natureza.</w:t>
                  </w:r>
                </w:p>
                <w:p w:rsidR="00000000" w:rsidRDefault="00A9002B">
                  <w:pPr>
                    <w:jc w:val="both"/>
                  </w:pPr>
                </w:p>
                <w:p w:rsidR="00000000" w:rsidRDefault="00A9002B">
                  <w:pPr>
                    <w:jc w:val="both"/>
                  </w:pPr>
                  <w:r>
                    <w:rPr>
                      <w:b/>
                    </w:rPr>
                    <w:t>b)</w:t>
                  </w:r>
                  <w:r>
                    <w:t xml:space="preserve"> </w:t>
                  </w:r>
                  <w:r>
                    <w:rPr>
                      <w:b/>
                    </w:rPr>
                    <w:t>Para os profissionais qualificados</w:t>
                  </w:r>
                  <w:r>
                    <w:t> </w:t>
                  </w:r>
                  <w:r>
                    <w:t xml:space="preserve">admitidos após a data base e aos que vierem a ser admitidos durante a vigência da presente convenção, fica assegurado um salário mínimo normativo de </w:t>
                  </w:r>
                  <w:r>
                    <w:rPr>
                      <w:b/>
                    </w:rPr>
                    <w:t xml:space="preserve">R$ 875,00 </w:t>
                  </w:r>
                  <w:r>
                    <w:rPr>
                      <w:b/>
                    </w:rPr>
                    <w:lastRenderedPageBreak/>
                    <w:t>(oitocentos e setenta e cinco reais)</w:t>
                  </w:r>
                  <w:r>
                    <w:t xml:space="preserve"> mensais, valor este que formará base para eventuais procedim</w:t>
                  </w:r>
                  <w:r>
                    <w:t>entos coletivos futuros de qualquer natureza.</w:t>
                  </w:r>
                </w:p>
                <w:p w:rsidR="00000000" w:rsidRDefault="00A9002B">
                  <w:pPr>
                    <w:jc w:val="both"/>
                  </w:pPr>
                  <w:r>
                    <w:t> </w:t>
                  </w:r>
                </w:p>
                <w:p w:rsidR="00000000" w:rsidRDefault="00A9002B">
                  <w:pPr>
                    <w:jc w:val="both"/>
                  </w:pPr>
                  <w:r>
                    <w:t>c) Aos empregados do setor administrativos (Auxiliares Administrativos) admitidos após a data base e aos que vierem a ser admitidos durante a vigencia da presente convenção, fica assegurado um salário normati</w:t>
                  </w:r>
                  <w:r>
                    <w:t xml:space="preserve">vo minimo de </w:t>
                  </w:r>
                  <w:r>
                    <w:rPr>
                      <w:rStyle w:val="Forte"/>
                    </w:rPr>
                    <w:t>R$ 835,00 (oitocentos e trinta e cinco)</w:t>
                  </w:r>
                  <w:r>
                    <w:t xml:space="preserve"> reais mensais.</w:t>
                  </w:r>
                </w:p>
                <w:p w:rsidR="00000000" w:rsidRDefault="00A9002B">
                  <w:pPr>
                    <w:jc w:val="both"/>
                  </w:pPr>
                  <w:r>
                    <w:t> 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VARIAÇÃO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rPr>
                      <w:rFonts w:ascii="Book Antiqua" w:hAnsi="Book Antiqua"/>
                      <w:szCs w:val="20"/>
                    </w:rPr>
                    <w:t>Os salários dos empregados representados pela entidade profissional acordante serão majorados em 1º demaio de 20</w:t>
                  </w:r>
                  <w:r>
                    <w:rPr>
                      <w:rFonts w:ascii="Book Antiqua" w:hAnsi="Book Antiqua"/>
                      <w:szCs w:val="20"/>
                    </w:rPr>
                    <w:t xml:space="preserve">12, a incidir sobre os salários </w:t>
                  </w:r>
                  <w:r>
                    <w:rPr>
                      <w:rFonts w:ascii="Book Antiqua" w:hAnsi="Book Antiqua"/>
                      <w:spacing w:val="-3"/>
                      <w:szCs w:val="20"/>
                    </w:rPr>
                    <w:t xml:space="preserve">percebido </w:t>
                  </w:r>
                  <w:r>
                    <w:rPr>
                      <w:rFonts w:ascii="Book Antiqua" w:hAnsi="Book Antiqua"/>
                      <w:szCs w:val="20"/>
                    </w:rPr>
                    <w:t>em 1º de maio de 2011, já reajustado pela norma coletiva revisanda, no percentual de </w:t>
                  </w:r>
                  <w:r>
                    <w:rPr>
                      <w:rFonts w:ascii="Book Antiqua" w:hAnsi="Book Antiqua"/>
                      <w:spacing w:val="-3"/>
                      <w:szCs w:val="20"/>
                    </w:rPr>
                    <w:t>6,5% (seis virgula cinco por cento).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REAJUSTE SALARIAL PROPORCIONAL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pStyle w:val="Corpodetexto"/>
                    <w:spacing w:before="0" w:beforeAutospacing="0" w:after="0" w:afterAutospacing="0"/>
                    <w:jc w:val="both"/>
                  </w:pPr>
                  <w:r>
                    <w:t xml:space="preserve">A taxa de reajustamento do salário do </w:t>
                  </w:r>
                  <w:r>
                    <w:t>empregado que haja ingressado na empresa após a data-base será proporcional ao tempo de serviço e terá como limite o salário reajustado do empregado exercente da mesma função, admitido até 12 (doze) meses antes da data-base.</w:t>
                  </w:r>
                </w:p>
                <w:p w:rsidR="00000000" w:rsidRDefault="00A9002B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t>Na hipótese de o empregado não ter paradigma ou em se tratando de empresa constituída e em funcionamento depois da data-base da categoria, será adotado o critério proporcional ao tempo de serviço, com adição ao salário de admissão, conforme tabela abaixo:</w:t>
                  </w:r>
                </w:p>
                <w:p w:rsidR="00000000" w:rsidRDefault="00A9002B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691"/>
                    <w:gridCol w:w="1184"/>
                    <w:gridCol w:w="257"/>
                    <w:gridCol w:w="1320"/>
                    <w:gridCol w:w="1060"/>
                  </w:tblGrid>
                  <w:tr w:rsidR="00000000">
                    <w:tc>
                      <w:tcPr>
                        <w:tcW w:w="16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b/>
                            <w:spacing w:val="-3"/>
                          </w:rPr>
                        </w:pPr>
                        <w:r>
                          <w:rPr>
                            <w:b/>
                            <w:spacing w:val="-3"/>
                          </w:rPr>
                          <w:t>Admissão</w:t>
                        </w:r>
                        <w:r>
                          <w:rPr>
                            <w:b/>
                            <w:spacing w:val="-3"/>
                          </w:rPr>
                          <w:tab/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b/>
                            <w:spacing w:val="-3"/>
                          </w:rPr>
                        </w:pPr>
                        <w:r>
                          <w:rPr>
                            <w:b/>
                            <w:spacing w:val="-3"/>
                          </w:rPr>
                          <w:t xml:space="preserve">Reajuste 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b/>
                            <w:color w:val="000000"/>
                            <w:spacing w:val="-3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</w:pPr>
                        <w:r>
                          <w:rPr>
                            <w:b/>
                            <w:spacing w:val="-3"/>
                          </w:rPr>
                          <w:tab/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</w:pPr>
                        <w:r>
                          <w:rPr>
                            <w:b/>
                            <w:spacing w:val="-3"/>
                          </w:rPr>
                          <w:t> </w:t>
                        </w:r>
                      </w:p>
                    </w:tc>
                  </w:tr>
                  <w:tr w:rsidR="00000000">
                    <w:tc>
                      <w:tcPr>
                        <w:tcW w:w="1691" w:type="dxa"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</w:pPr>
                        <w:r>
                          <w:rPr>
                            <w:b/>
                            <w:spacing w:val="-3"/>
                            <w:lang w:val="en-US"/>
                          </w:rPr>
                          <w:t>MAIO/11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b/>
                            <w:spacing w:val="-3"/>
                            <w:lang w:val="es-ES_tradnl"/>
                          </w:rPr>
                        </w:pPr>
                        <w:r>
                          <w:rPr>
                            <w:b/>
                            <w:spacing w:val="-3"/>
                            <w:lang w:val="es-ES_tradnl"/>
                          </w:rPr>
                          <w:t>6,5%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b/>
                            <w:color w:val="000000"/>
                            <w:spacing w:val="-3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169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</w:pPr>
                        <w:r>
                          <w:rPr>
                            <w:b/>
                            <w:spacing w:val="-3"/>
                            <w:lang w:val="es-ES_tradnl"/>
                          </w:rPr>
                          <w:t>JUN/11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</w:pPr>
                        <w:r>
                          <w:rPr>
                            <w:b/>
                            <w:spacing w:val="-3"/>
                            <w:lang w:val="es-ES_tradnl"/>
                          </w:rPr>
                          <w:t>5,94%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b/>
                            <w:color w:val="000000"/>
                            <w:spacing w:val="-3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</w:pPr>
                        <w:r>
                          <w:t> </w:t>
                        </w:r>
                      </w:p>
                    </w:tc>
                  </w:tr>
                  <w:tr w:rsidR="00000000">
                    <w:tc>
                      <w:tcPr>
                        <w:tcW w:w="169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</w:pPr>
                        <w:r>
                          <w:rPr>
                            <w:rStyle w:val="Forte"/>
                            <w:spacing w:val="-3"/>
                            <w:lang w:val="es-ES_tradnl"/>
                          </w:rPr>
                          <w:t>JUL/11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rStyle w:val="Forte"/>
                            <w:spacing w:val="-3"/>
                            <w:lang w:val="es-ES_tradnl"/>
                          </w:rPr>
                        </w:pPr>
                        <w:r>
                          <w:rPr>
                            <w:rStyle w:val="Forte"/>
                            <w:spacing w:val="-3"/>
                            <w:lang w:val="es-ES_tradnl"/>
                          </w:rPr>
                          <w:t>5,40%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color w:val="000000"/>
                            <w:spacing w:val="-3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169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</w:pPr>
                        <w:r>
                          <w:rPr>
                            <w:rStyle w:val="Forte"/>
                            <w:spacing w:val="-3"/>
                            <w:lang w:val="es-ES_tradnl"/>
                          </w:rPr>
                          <w:t>AGO/11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rStyle w:val="Forte"/>
                            <w:spacing w:val="-3"/>
                            <w:lang w:val="es-ES_tradnl"/>
                          </w:rPr>
                        </w:pPr>
                        <w:r>
                          <w:rPr>
                            <w:rStyle w:val="Forte"/>
                            <w:spacing w:val="-3"/>
                            <w:lang w:val="es-ES_tradnl"/>
                          </w:rPr>
                          <w:t>4,86%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color w:val="000000"/>
                            <w:spacing w:val="-3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169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</w:pPr>
                        <w:r>
                          <w:rPr>
                            <w:rStyle w:val="Forte"/>
                            <w:spacing w:val="-3"/>
                            <w:lang w:val="en-US"/>
                          </w:rPr>
                          <w:t>SET/11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rStyle w:val="Forte"/>
                            <w:spacing w:val="-3"/>
                            <w:lang w:val="en-US"/>
                          </w:rPr>
                        </w:pPr>
                        <w:r>
                          <w:rPr>
                            <w:rStyle w:val="Forte"/>
                            <w:spacing w:val="-3"/>
                            <w:lang w:val="en-US"/>
                          </w:rPr>
                          <w:t>4,32%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color w:val="000000"/>
                            <w:spacing w:val="-3"/>
                            <w:lang w:val="en-US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169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</w:pPr>
                        <w:r>
                          <w:rPr>
                            <w:rStyle w:val="Forte"/>
                            <w:spacing w:val="-3"/>
                            <w:lang w:val="en-US"/>
                          </w:rPr>
                          <w:t>OUT/11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rStyle w:val="Forte"/>
                            <w:spacing w:val="-3"/>
                            <w:lang w:val="en-US"/>
                          </w:rPr>
                        </w:pPr>
                        <w:r>
                          <w:rPr>
                            <w:rStyle w:val="Forte"/>
                            <w:spacing w:val="-3"/>
                            <w:lang w:val="en-US"/>
                          </w:rPr>
                          <w:t>3,78%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color w:val="000000"/>
                            <w:spacing w:val="-3"/>
                            <w:lang w:val="en-US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169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</w:pPr>
                        <w:r>
                          <w:rPr>
                            <w:rStyle w:val="Forte"/>
                            <w:spacing w:val="-3"/>
                            <w:lang w:val="en-US"/>
                          </w:rPr>
                          <w:t>NOV/11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rStyle w:val="Forte"/>
                            <w:spacing w:val="-3"/>
                            <w:lang w:val="en-US"/>
                          </w:rPr>
                        </w:pPr>
                        <w:r>
                          <w:rPr>
                            <w:rStyle w:val="Forte"/>
                            <w:spacing w:val="-3"/>
                            <w:lang w:val="en-US"/>
                          </w:rPr>
                          <w:t>3,24%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color w:val="000000"/>
                            <w:spacing w:val="-3"/>
                            <w:lang w:val="en-US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169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</w:pPr>
                        <w:r>
                          <w:rPr>
                            <w:rStyle w:val="Forte"/>
                            <w:spacing w:val="-3"/>
                            <w:lang w:val="en-US"/>
                          </w:rPr>
                          <w:t>DEZ/11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rStyle w:val="Forte"/>
                            <w:spacing w:val="-3"/>
                            <w:lang w:val="en-US"/>
                          </w:rPr>
                        </w:pPr>
                        <w:r>
                          <w:rPr>
                            <w:rStyle w:val="Forte"/>
                            <w:spacing w:val="-3"/>
                            <w:lang w:val="en-US"/>
                          </w:rPr>
                          <w:t>2,70%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color w:val="000000"/>
                            <w:spacing w:val="-3"/>
                            <w:lang w:val="en-US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</w:pPr>
                        <w:r>
                          <w:t> </w:t>
                        </w:r>
                      </w:p>
                    </w:tc>
                  </w:tr>
                  <w:tr w:rsidR="00000000">
                    <w:tc>
                      <w:tcPr>
                        <w:tcW w:w="169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</w:pPr>
                        <w:r>
                          <w:rPr>
                            <w:rStyle w:val="Forte"/>
                            <w:spacing w:val="-3"/>
                            <w:lang w:val="en-US"/>
                          </w:rPr>
                          <w:t>JAN/12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rStyle w:val="Forte"/>
                            <w:spacing w:val="-3"/>
                            <w:lang w:val="en-US"/>
                          </w:rPr>
                        </w:pPr>
                        <w:r>
                          <w:rPr>
                            <w:rStyle w:val="Forte"/>
                            <w:spacing w:val="-3"/>
                            <w:lang w:val="en-US"/>
                          </w:rPr>
                          <w:t>2,16%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color w:val="000000"/>
                            <w:spacing w:val="-3"/>
                            <w:lang w:val="en-US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169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</w:pPr>
                        <w:r>
                          <w:rPr>
                            <w:rStyle w:val="Forte"/>
                            <w:spacing w:val="-3"/>
                            <w:lang w:val="en-US"/>
                          </w:rPr>
                          <w:t>FEV/12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rStyle w:val="Forte"/>
                            <w:spacing w:val="-3"/>
                            <w:lang w:val="en-US"/>
                          </w:rPr>
                        </w:pPr>
                        <w:r>
                          <w:rPr>
                            <w:rStyle w:val="Forte"/>
                            <w:spacing w:val="-3"/>
                            <w:lang w:val="en-US"/>
                          </w:rPr>
                          <w:t>1,62%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color w:val="000000"/>
                            <w:spacing w:val="-3"/>
                            <w:lang w:val="en-US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1691" w:type="dxa"/>
                        <w:tcBorders>
                          <w:top w:val="single" w:sz="6" w:space="0" w:color="000000"/>
                          <w:left w:val="single" w:sz="12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</w:pPr>
                        <w:r>
                          <w:rPr>
                            <w:rStyle w:val="Forte"/>
                            <w:spacing w:val="-3"/>
                            <w:lang w:val="en-US"/>
                          </w:rPr>
                          <w:t>MAR/12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rStyle w:val="Forte"/>
                            <w:spacing w:val="-3"/>
                            <w:lang w:val="en-US"/>
                          </w:rPr>
                        </w:pPr>
                        <w:r>
                          <w:rPr>
                            <w:rStyle w:val="Forte"/>
                            <w:spacing w:val="-3"/>
                            <w:lang w:val="en-US"/>
                          </w:rPr>
                          <w:t>1,08%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color w:val="000000"/>
                            <w:spacing w:val="-3"/>
                            <w:lang w:val="en-US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12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1691" w:type="dxa"/>
                        <w:tcBorders>
                          <w:top w:val="single" w:sz="6" w:space="0" w:color="auto"/>
                          <w:left w:val="single" w:sz="6" w:space="0" w:color="000000"/>
                          <w:bottom w:val="single" w:sz="6" w:space="0" w:color="auto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</w:pPr>
                        <w:r>
                          <w:rPr>
                            <w:rStyle w:val="Forte"/>
                            <w:spacing w:val="-3"/>
                            <w:lang w:val="en-US"/>
                          </w:rPr>
                          <w:t>ABR/15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6" w:space="0" w:color="auto"/>
                          <w:left w:val="single" w:sz="6" w:space="0" w:color="000000"/>
                          <w:bottom w:val="single" w:sz="6" w:space="0" w:color="auto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rStyle w:val="Forte"/>
                            <w:spacing w:val="-3"/>
                            <w:lang w:val="en-US"/>
                          </w:rPr>
                        </w:pPr>
                        <w:r>
                          <w:rPr>
                            <w:rStyle w:val="Forte"/>
                            <w:spacing w:val="-3"/>
                            <w:lang w:val="en-US"/>
                          </w:rPr>
                          <w:t>0,54%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single" w:sz="6" w:space="0" w:color="auto"/>
                          <w:left w:val="single" w:sz="6" w:space="0" w:color="000000"/>
                          <w:bottom w:val="single" w:sz="6" w:space="0" w:color="auto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00000" w:rsidRDefault="00A9002B">
                        <w:pPr>
                          <w:tabs>
                            <w:tab w:val="left" w:pos="-720"/>
                          </w:tabs>
                          <w:suppressAutoHyphens/>
                          <w:jc w:val="both"/>
                          <w:rPr>
                            <w:color w:val="000000"/>
                            <w:spacing w:val="-3"/>
                            <w:lang w:val="en-US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6" w:space="0" w:color="auto"/>
                          <w:left w:val="single" w:sz="6" w:space="0" w:color="000000"/>
                          <w:bottom w:val="single" w:sz="6" w:space="0" w:color="auto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auto"/>
                          <w:left w:val="single" w:sz="6" w:space="0" w:color="000000"/>
                          <w:bottom w:val="single" w:sz="6" w:space="0" w:color="auto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000000" w:rsidRDefault="00A9002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A9002B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</w:rPr>
                    <w:t> </w:t>
                  </w:r>
                </w:p>
                <w:p w:rsidR="00000000" w:rsidRDefault="00A9002B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9002B">
                  <w:pPr>
                    <w:pStyle w:val="Corpodetexto"/>
                    <w:spacing w:before="0" w:beforeAutospacing="0" w:after="0" w:afterAutospacing="0"/>
                    <w:jc w:val="both"/>
                  </w:pP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Pagamento de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Formas e Prazos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ENVELOPES DE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As empresas fornecerão aos seus empregados envelopes de pagamento com demonstrativo das parcelas pagas e descontadas.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PAGAMENTO DE SALÁRIOS FORA DO HORÁRIO NORMAL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 xml:space="preserve">As empresas na medida de suas disponibilidades, efetuarão </w:t>
                  </w:r>
                  <w:r>
                    <w:t>o pagamento de seus empregados na sede da empresa e dentro do horário normal de trabalho. O tempo despendido para recebimento do pagamento , o empregado receberá como extraordinário, com acréscimo de 50% (cinqüenta por cento) sobre a hora norma, exceção fe</w:t>
                  </w:r>
                  <w:r>
                    <w:t>ita ao crédito em conta corrente bancária do empregado.</w:t>
                  </w:r>
                </w:p>
                <w:p w:rsidR="00000000" w:rsidRDefault="00A9002B">
                  <w:pPr>
                    <w:jc w:val="both"/>
                  </w:pPr>
                </w:p>
                <w:p w:rsidR="00000000" w:rsidRDefault="00A9002B">
                  <w:pPr>
                    <w:jc w:val="both"/>
                  </w:pPr>
                  <w:r>
                    <w:rPr>
                      <w:b/>
                    </w:rPr>
                    <w:t xml:space="preserve">Parágrafo Único - </w:t>
                  </w:r>
                  <w:r>
                    <w:t>O pagamento de salários em sextas-feiras e vésperas de feriados serão efetuados em moeda corrente nacional, exceção feita ao crédito em conta corrente bancária do empregado.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 produção ou tarefa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TRABALHO EM JAÚS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Sempre que um empregado, remunerado por tarefa, exercer suas atividades em jaús ou andaimes acima de 05 (cinco) metros de altura, terá, durante a vigência do presente acordo e enquanto per</w:t>
                  </w:r>
                  <w:r>
                    <w:t>durar tal atividade, a remuneração correspondente ao trabalho em ditas condições acrescidas de 20% (vinte por cento).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Gratificação de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COMPENSAÇÕES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pStyle w:val="Corpodetexto"/>
                    <w:spacing w:before="0" w:beforeAutospacing="0" w:after="0" w:afterAutospacing="0"/>
                    <w:jc w:val="both"/>
                  </w:pPr>
                  <w:r>
                    <w:t xml:space="preserve">Após calculada a recomposição </w:t>
                  </w:r>
                  <w:r>
                    <w:t>salarial serão compensados os aumentos salariais, espontâneos ou coercitivos, concedidos durante o prazo de vigência do acordo coletivo anterior, exceto os provenientes de término de aprendizagem; implemento de idade; promoção por antigüidade ou mereciment</w:t>
                  </w:r>
                  <w:r>
                    <w:t>o; transferência de cargo, função, estabelecimento ou de localidade; e equiparação salarial determinada por sentença transitada em julgado.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de Tempo de Serviço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QÜINQÜÊNIO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As empresas concederão a seus empregados, a parti</w:t>
                  </w:r>
                  <w:r>
                    <w:t>r da data base e que tanto e pelas presentes disposições façam jus, uma remuneração adicional de 2% (dois por cento) sobre o salário base, sob a forma de adicional por tempo de serviço, por qüinqüênio de trabalho prestado pelo empregado ao mesmo empregador</w:t>
                  </w:r>
                  <w:r>
                    <w:t>.</w:t>
                  </w:r>
                </w:p>
                <w:p w:rsidR="00000000" w:rsidRDefault="00A9002B">
                  <w:pPr>
                    <w:jc w:val="both"/>
                  </w:pPr>
                </w:p>
                <w:p w:rsidR="00000000" w:rsidRDefault="00A9002B">
                  <w:pPr>
                    <w:jc w:val="both"/>
                  </w:pPr>
                  <w:r>
                    <w:rPr>
                      <w:b/>
                    </w:rPr>
                    <w:t>Parágrafo Único</w:t>
                  </w:r>
                  <w:r>
                    <w:t xml:space="preserve"> - Fica estabelecido entre as partes convenentes que será considerado como tempo de </w:t>
                  </w:r>
                  <w:r>
                    <w:lastRenderedPageBreak/>
                    <w:t>serviço para fins de percepção de qüinqüênio os períodos descontínuos de trabalho prestado pelo empregado ao mesmo empregador, limitado aos últimos 10 (de</w:t>
                  </w:r>
                  <w:r>
                    <w:t>z) anos.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CESTA BÁSICA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pStyle w:val="Corpodetexto"/>
                    <w:spacing w:before="0" w:beforeAutospacing="0" w:after="0" w:afterAutospacing="0"/>
                    <w:jc w:val="both"/>
                  </w:pPr>
                  <w:r>
                    <w:t>Será devida, pelos empregadores a todos os seus empregados, independentemente de sua função, uma cesta básica mensal no valor equivalente a R$ 80,00 (oitenta reais) que poderá ser</w:t>
                  </w:r>
                  <w:r>
                    <w:t xml:space="preserve"> concedido através de vale-alimentação, vale-rancho, vale-refeição, cesta básica ou  permitido convertê-la em pecúnia, sendo indispensável, contudo, a discriminação em recibo de sua destinação específica.</w:t>
                  </w:r>
                </w:p>
                <w:p w:rsidR="00000000" w:rsidRDefault="00A9002B">
                  <w:pPr>
                    <w:jc w:val="both"/>
                  </w:pPr>
                  <w:r>
                    <w:rPr>
                      <w:b/>
                    </w:rPr>
                    <w:t>Parágrafo Primeiro</w:t>
                  </w:r>
                  <w:r>
                    <w:t xml:space="preserve"> </w:t>
                  </w:r>
                  <w:r>
                    <w:t></w:t>
                  </w:r>
                  <w:r>
                    <w:t xml:space="preserve">  O direito a cesta básica será</w:t>
                  </w:r>
                  <w:r>
                    <w:t xml:space="preserve"> devido somente  para os empregados que tiver 100% (cem por cento) de assiduidade no mês.  </w:t>
                  </w:r>
                </w:p>
                <w:p w:rsidR="00000000" w:rsidRDefault="00A9002B">
                  <w:pPr>
                    <w:jc w:val="both"/>
                  </w:pPr>
                </w:p>
                <w:p w:rsidR="00000000" w:rsidRDefault="00A9002B">
                  <w:pPr>
                    <w:pStyle w:val="Corpodetexto"/>
                    <w:spacing w:before="0" w:beforeAutospacing="0" w:after="0" w:afterAutospacing="0"/>
                    <w:jc w:val="both"/>
                  </w:pPr>
                  <w:r>
                    <w:rPr>
                      <w:b/>
                    </w:rPr>
                    <w:t>Parágrafo Segundo</w:t>
                  </w:r>
                  <w:r>
                    <w:t xml:space="preserve"> -  Não terá direito a cesta básica os empregados que no mês tiverem faltas justificadas ou não, ou por qualquer motivo não tenham trabalhado todo</w:t>
                  </w:r>
                  <w:r>
                    <w:t>s os dias do mês, inclusive, suspensão do contrato e no período de gozo das férias.</w:t>
                  </w:r>
                </w:p>
                <w:p w:rsidR="00000000" w:rsidRDefault="00A9002B">
                  <w:pPr>
                    <w:jc w:val="both"/>
                  </w:pPr>
                  <w:r>
                    <w:t xml:space="preserve"> </w:t>
                  </w:r>
                </w:p>
                <w:p w:rsidR="00000000" w:rsidRDefault="00A9002B">
                  <w:pPr>
                    <w:jc w:val="both"/>
                  </w:pPr>
                  <w:r>
                    <w:rPr>
                      <w:b/>
                    </w:rPr>
                    <w:t>Parágrafo Terceiro</w:t>
                  </w:r>
                  <w:r>
                    <w:t>- As partes reconhecem, para todos os fins de direito, que o fornecimento desta cesta básica, por quaisquer das formas aqui referidas, não terá natureza salarial, não podendo ser invocado a qualquer tempo, salvo caso de inadimplência, como salário "in natu</w:t>
                  </w:r>
                  <w:r>
                    <w:t>ra".</w:t>
                  </w:r>
                </w:p>
                <w:p w:rsidR="00000000" w:rsidRDefault="00A9002B">
                  <w:pPr>
                    <w:jc w:val="both"/>
                  </w:pPr>
                </w:p>
                <w:p w:rsidR="00000000" w:rsidRDefault="00A9002B">
                  <w:pPr>
                    <w:jc w:val="both"/>
                  </w:pPr>
                  <w:r>
                    <w:rPr>
                      <w:b/>
                    </w:rPr>
                    <w:t>Parágrafo Quarto</w:t>
                  </w:r>
                  <w:r>
                    <w:t xml:space="preserve"> - Os empregados poderão participar com até, no máximo, 20% (vinte por cento) do valor da cesta básica efetivamente fornecida.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Transporte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DESPESAS COM TRANSPORTE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As empresas pagarão aos seus empregados, à titulo de ajuda de custo própria para condução, ou propiciará ao mesmo, o valor correspondente aos gastos com transporte coletivo utilizado pelos mesmos quando deslocados para o trabalho em local que não aquele no</w:t>
                  </w:r>
                  <w:r>
                    <w:t>rmal e contratual básico, enquanto perdurar o deslocamento, sem que tal ajuda integre os respectivos salários para qualquer efeito.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Educação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PLANO EDUCACIONAL PARA EMPREGADOS E DEPENDENTES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Fica instituída, inclusi</w:t>
                  </w:r>
                  <w:r>
                    <w:t>ve e expressamente para a previsão do disposto na legislação em vigor, e dentro do permissivo do art 7º, da Constituição Federal, o seguinte plano educacional para os empregados em atividade na Empresa nas épocas de pagamento do benefício, sem que possa fa</w:t>
                  </w:r>
                  <w:r>
                    <w:t>lar em integração ao salário do empregado para qualquer efeito.</w:t>
                  </w:r>
                </w:p>
                <w:p w:rsidR="00000000" w:rsidRDefault="00A9002B">
                  <w:pPr>
                    <w:jc w:val="both"/>
                  </w:pPr>
                </w:p>
                <w:p w:rsidR="00000000" w:rsidRDefault="00A9002B">
                  <w:pPr>
                    <w:jc w:val="both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Parágrafo Primeiro - DO PLANO</w:t>
                  </w:r>
                </w:p>
                <w:p w:rsidR="00000000" w:rsidRDefault="00A9002B">
                  <w:pPr>
                    <w:jc w:val="both"/>
                  </w:pPr>
                  <w:r>
                    <w:t>a) os empregados deverão comprovar, perante a empresa a sua aprovação, ou de 01(um) filho menor  de 15 (quinze) anos, nas provas de estabelecimento de ensino ofi</w:t>
                  </w:r>
                  <w:r>
                    <w:t>cial ou legalmente reconhecido, relativa ao ano ou semestre anterior à data de concessão do benefício educacional aqui previsto;</w:t>
                  </w:r>
                </w:p>
                <w:p w:rsidR="00000000" w:rsidRDefault="00A9002B">
                  <w:pPr>
                    <w:jc w:val="both"/>
                  </w:pPr>
                </w:p>
                <w:p w:rsidR="00000000" w:rsidRDefault="00A9002B">
                  <w:pPr>
                    <w:jc w:val="both"/>
                  </w:pPr>
                  <w:r>
                    <w:lastRenderedPageBreak/>
                    <w:t xml:space="preserve">b) poderá ser substituída a comprovação da aprovação logo acima referida pelo certificado de, no mínimo, 75% (setenta e cinco </w:t>
                  </w:r>
                  <w:r>
                    <w:t>por cento) de freqüência no ano ou semestre anterior à data da concessão do benefício educacional aqui previsto;</w:t>
                  </w:r>
                </w:p>
                <w:p w:rsidR="00000000" w:rsidRDefault="00A9002B">
                  <w:pPr>
                    <w:jc w:val="both"/>
                  </w:pPr>
                </w:p>
                <w:p w:rsidR="00000000" w:rsidRDefault="00A9002B">
                  <w:pPr>
                    <w:jc w:val="both"/>
                  </w:pPr>
                  <w:r>
                    <w:t>c) deverá, ainda, ser apresentado à Empresa a comprovação de matrícula em estabelecimento de ensino oficial ou legalmente reconhecido referent</w:t>
                  </w:r>
                  <w:r>
                    <w:t>e ao ano ou semestre anterior à data de concessão do benefício educacional aqui previsto.</w:t>
                  </w:r>
                </w:p>
                <w:p w:rsidR="00000000" w:rsidRDefault="00A9002B">
                  <w:pPr>
                    <w:jc w:val="both"/>
                  </w:pPr>
                </w:p>
                <w:p w:rsidR="00000000" w:rsidRDefault="00A9002B">
                  <w:pPr>
                    <w:jc w:val="both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Parágrafo Segundo - DAS CONDIÇÕES</w:t>
                  </w:r>
                </w:p>
                <w:p w:rsidR="00000000" w:rsidRDefault="00A9002B">
                  <w:pPr>
                    <w:jc w:val="both"/>
                  </w:pPr>
                  <w:r>
                    <w:t xml:space="preserve">Mediante o atendimento integral dos critérios acima previstos, as empresas pagarão aos empregados uma ajuda de custo nos seguintes </w:t>
                  </w:r>
                  <w:r>
                    <w:t>termos: R$ 110,00 (cento e dez  reais) até o dia 30 de setembro de 2012; e R$ R$ 110,00 (cento e dez reais) até o dia 15 de março de 2013.</w:t>
                  </w:r>
                </w:p>
                <w:p w:rsidR="00000000" w:rsidRDefault="00A9002B">
                  <w:pPr>
                    <w:jc w:val="both"/>
                  </w:pPr>
                  <w:r>
                    <w:rPr>
                      <w:rStyle w:val="Forte"/>
                    </w:rPr>
                    <w:t>Parágrafo Terceiro -</w:t>
                  </w:r>
                  <w:r>
                    <w:t xml:space="preserve"> As empresas que quiserem fornecer um kit de material escolar ao invés do valor, deverão comprova</w:t>
                  </w:r>
                  <w:r>
                    <w:t>r que o kit tem custo igual ao valor monetário do auxilio.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Morte/Funeral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AUXÍLIO FUNERAL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Em caso de falecimento do empregado na vigência do contrato de trabalho, as empresas pagarão diretamente aos seus familiares u</w:t>
                  </w:r>
                  <w:r>
                    <w:t>m auxílio no valor de 02 (dois) salários normativos da respectiva função do empregado, vigentes na data do óbito.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Admissão, Demissão, Modalidades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Normas para Admissão/Contratação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QUINTA - 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Quando o contrato de trabalho for  formalizado, as empresas representadas se obrigam a fornecer uma via ao empregado, por este chancelada sob pena de nulidade.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SEXTA - CONTRATO DE EXPERIÊNCIA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Fica acordado que o empregado readmitido</w:t>
                  </w:r>
                  <w:r>
                    <w:t xml:space="preserve"> no período de 12 (doze) meses contados de sua dispensa fica desobrigado de firmar contrato de experiência.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Desligamento/Demissão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SÉTIMA - COMUNICAÇÃO POR JUSTA CAUSA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Será comunicado, por escrito, aos empregados dispensados com just</w:t>
                  </w:r>
                  <w:r>
                    <w:t>a causa, os motivos da dispensa, sob pena de nulidade.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OITAVA - CARTEIRA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As empresas se obrigam a anotar a data da saída</w:t>
                  </w:r>
                  <w:r>
                    <w:t xml:space="preserve"> </w:t>
                  </w:r>
                  <w:r>
                    <w:t>em sua Carteir</w:t>
                  </w:r>
                  <w:r>
                    <w:t>a</w:t>
                  </w:r>
                  <w:r>
                    <w:t xml:space="preserve"> de Trabalho e Previdência Social assim como pagar-lhes os direitos rescisórios cabívei</w:t>
                  </w:r>
                  <w:r>
                    <w:t>s ao caso no prazo legal.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NONA - HORÁRIO DA RESCISÃO CONTRATUAL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As empresas poderão efetuar o pagamento da rescisão contratual até as 14:00 (quatorze horas) do último dia legal previsto para o pagamento em cheque visado, obrigando-se a</w:t>
                  </w:r>
                  <w:r>
                    <w:t xml:space="preserve"> fazê-lo em moeda corrente nacional se efetuada a rescisão após esse horário.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- COMPROVAÇÃO DAS CONTRIBUIÇÕES-HOMOLOGAÇÃO DE RESCISÃO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 xml:space="preserve">As empresas se obrigam a comprovar o pagamento das contribuições sindicais e dos recolhimentos dos </w:t>
                  </w:r>
                  <w:r>
                    <w:t>valores devidos por força da presente Convenção Coletiva de Trabalho, previstas na cláusulas de Descontos Sindicais deste instrumento, por ocasião das homologações das rescisões contratuais junto ao sindicato laboral. A comprovação da regularidade relativa</w:t>
                  </w:r>
                  <w:r>
                    <w:t xml:space="preserve"> àquelas obrigações junto aos convenentes somente se fará mediante a exibição de certidão negativa de débito expedida pelo sindicato patronal ora acordante.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Aviso Prévio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PRIMEIRA - DISPENSA DE CUMPRIMENTO DE AVISO PRÉVIO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Sempre qu</w:t>
                  </w:r>
                  <w:r>
                    <w:t>e, no curso do aviso prévio de iniciativa do empregador, o empregado comprovar a obtenção de novo emprego, ficará aquele obrigado a dispensar este do cumprimento do restante do prazo de aviso, assim como o respectivo ponto.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Mão-de-Obra Temporária/Terceir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ização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SEGUNDA - SUBEMPREITEIROS-CONTRATAÇÃO-REQUISITOS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rPr>
                      <w:caps/>
                    </w:rPr>
                    <w:t>A</w:t>
                  </w:r>
                  <w:r>
                    <w:t>s empresas contratarão sub-empreiteiros de mão-de-obra somente após os mesmos apresentarem certidão negativa emitida pelo Sindicato Profissional. Essa certidão, que terá valid</w:t>
                  </w:r>
                  <w:r>
                    <w:t>ade por seis meses, somente será concedida se o sub-empreiteiros comprovar o pagamento da contribuição sindical relativa aos dois últimos exercícios e devida às entidades ora acordantes, o pagamento das contribuições devidas por força dos dois últimos diss</w:t>
                  </w:r>
                  <w:r>
                    <w:t>ídios e/ou convenções coletivas as mesmas entidades ora acordantes, atestado de regularidade com o INSS e FGTS, livro registro de empregados e alvará da Prefeitura Municipal. Comprovada a impossibilidade do sub-empreiteiro obter a certidão acima, a empresa</w:t>
                  </w:r>
                  <w:r>
                    <w:t xml:space="preserve"> se compromete a proceder a rescisão do contrato de sub-empreitada em até 15 (quinze) dias, sob pena de pagamento de uma multa semanal equivalente a R$ 65,00 (sessenta e cinco reais), responsabilizando-se, ainda, a empresa por todos os direitos e obrigaçõe</w:t>
                  </w:r>
                  <w:r>
                    <w:t>s do mesmo sub-empreiteiro perante os trabalhadores e sindicato Profissional até e enquanto vigorar a relação entra a empresa e o sub-empreiteiro.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Condições de Trabalho, Normas de Pessoal e Estabilidades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>Estabilidade Aposentador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TERCEIRA - ESTABILIDADE PROVISÓRIA PARA APOSENTADO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As empresas assegurarão a todo empregado uma estabilidade provisória de 12 (doze) meses que antecedem a data da aquisição da aposentadoria por tempo de serviço, desde que o empregado comunique o início do período de 12 (doze) meses em forma de ofício assin</w:t>
                  </w:r>
                  <w:r>
                    <w:t>ado em 02 (duas) vias de igual teor até o final do aviso prévio, na hipótese de rescisão contratual.</w:t>
                  </w:r>
                </w:p>
                <w:p w:rsidR="00000000" w:rsidRDefault="00A9002B">
                  <w:pPr>
                    <w:jc w:val="both"/>
                  </w:pPr>
                </w:p>
                <w:p w:rsidR="00000000" w:rsidRDefault="00A9002B">
                  <w:pPr>
                    <w:jc w:val="both"/>
                  </w:pPr>
                  <w:r>
                    <w:rPr>
                      <w:b/>
                    </w:rPr>
                    <w:t>Parágrafo Único -</w:t>
                  </w:r>
                  <w:r>
                    <w:t xml:space="preserve"> O empregado somente poderá utilizar-se dessa vantagem em uma única oportunidade, não sendo possível renová-la.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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Duração, Distribuição, Controle, Faltas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Compensação de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QUARTA - REGIME DE COMPENSAÇÃO HORÁRIA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pStyle w:val="Recuodecorpodetexto"/>
                    <w:spacing w:before="0" w:beforeAutospacing="0" w:after="0" w:afterAutospacing="0"/>
                    <w:jc w:val="both"/>
                  </w:pPr>
                  <w:r>
                    <w:t>A duração normal da jornada de trabalho poderá, para fins de adoção do regime de compensação horária de que trata o art. 59 da CLT, ser acrescida de horas suplementares em número não excedente de 02 (duas) horas, respeitada a seguinte sistemática:</w:t>
                  </w:r>
                </w:p>
                <w:p w:rsidR="00000000" w:rsidRDefault="00A9002B">
                  <w:pPr>
                    <w:pStyle w:val="Recuodecorpodetexto"/>
                    <w:spacing w:before="0" w:beforeAutospacing="0" w:after="0" w:afterAutospacing="0"/>
                    <w:jc w:val="both"/>
                  </w:pPr>
                  <w:r>
                    <w:rPr>
                      <w:b/>
                    </w:rPr>
                    <w:t>a)</w:t>
                  </w:r>
                  <w:r>
                    <w:t xml:space="preserve"> o reg</w:t>
                  </w:r>
                  <w:r>
                    <w:t>ime de compensação horária poderá ser estabelecido em um período máximo de 60 (sessenta) dias;</w:t>
                  </w:r>
                </w:p>
                <w:p w:rsidR="00000000" w:rsidRDefault="00A9002B">
                  <w:pPr>
                    <w:pStyle w:val="Corpodetexto"/>
                    <w:spacing w:before="0" w:beforeAutospacing="0" w:after="0" w:afterAutospacing="0"/>
                    <w:jc w:val="both"/>
                  </w:pPr>
                  <w:r>
                    <w:rPr>
                      <w:b/>
                    </w:rPr>
                    <w:t>b)</w:t>
                  </w:r>
                  <w:r>
                    <w:t xml:space="preserve">  </w:t>
                  </w:r>
                  <w:r>
                    <w:t xml:space="preserve">as horas excedentes ao limite previsto na letra </w:t>
                  </w:r>
                  <w:r>
                    <w:t></w:t>
                  </w:r>
                  <w:r>
                    <w:t>a da presente cláusula, serão pagas como extras e acrescidas do adicional previsto nesta convenção e na leg</w:t>
                  </w:r>
                  <w:r>
                    <w:t>islação em vigor, o que não descaracteriza o regime compensatório ajustado;</w:t>
                  </w:r>
                </w:p>
                <w:p w:rsidR="00000000" w:rsidRDefault="00A9002B">
                  <w:pPr>
                    <w:pStyle w:val="Corpodetexto"/>
                    <w:spacing w:before="0" w:beforeAutospacing="0" w:after="0" w:afterAutospacing="0"/>
                    <w:jc w:val="both"/>
                  </w:pPr>
                  <w:r>
                    <w:rPr>
                      <w:b/>
                    </w:rPr>
                    <w:t>c)</w:t>
                  </w:r>
                  <w:r>
                    <w:t xml:space="preserve"> as empresas que se utilizarem da compensação deverão adotar controle de ponto da carga horária do empregado;</w:t>
                  </w:r>
                </w:p>
                <w:p w:rsidR="00000000" w:rsidRDefault="00A9002B">
                  <w:pPr>
                    <w:spacing w:after="120"/>
                    <w:jc w:val="both"/>
                  </w:pPr>
                  <w:r>
                    <w:rPr>
                      <w:b/>
                    </w:rPr>
                    <w:t>d)</w:t>
                  </w:r>
                  <w:r>
                    <w:t xml:space="preserve"> a compensação dar-se-á sempre de segunda-feira a sábado, ficando </w:t>
                  </w:r>
                  <w:r>
                    <w:t>vedada aos domingos e feriados.</w:t>
                  </w:r>
                </w:p>
                <w:p w:rsidR="00000000" w:rsidRDefault="00A9002B">
                  <w:pPr>
                    <w:spacing w:after="120"/>
                    <w:jc w:val="both"/>
                  </w:pPr>
                  <w:r>
                    <w:rPr>
                      <w:b/>
                    </w:rPr>
                    <w:t xml:space="preserve">Parágrafo Primeiro - </w:t>
                  </w:r>
                  <w:r>
                    <w:t>As horas de trabalho reduzidas na jornada para posterior compensação não poderão ser objeto de descontos salariais, caso não venham a ser compensadas com o respectivo aumento da jornada dentro do período</w:t>
                  </w:r>
                  <w:r>
                    <w:t xml:space="preserve"> de sessenta dias e nem poderão ser objeto de compensação nos meses subseqüentes.</w:t>
                  </w:r>
                </w:p>
                <w:p w:rsidR="00000000" w:rsidRDefault="00A9002B">
                  <w:pPr>
                    <w:tabs>
                      <w:tab w:val="left" w:pos="-720"/>
                    </w:tabs>
                    <w:suppressAutoHyphens/>
                    <w:spacing w:after="120"/>
                    <w:jc w:val="both"/>
                    <w:rPr>
                      <w:spacing w:val="-3"/>
                    </w:rPr>
                  </w:pPr>
                  <w:r>
                    <w:rPr>
                      <w:b/>
                      <w:spacing w:val="-3"/>
                    </w:rPr>
                    <w:t xml:space="preserve">Parágrafo Segundo - </w:t>
                  </w:r>
                  <w:r>
                    <w:rPr>
                      <w:spacing w:val="-3"/>
                    </w:rPr>
                    <w:t>Havendo rescisão de contrato e se houver crédito a favor do empregado, as respectivas horas serão computadas e remuneradas com o adicional de horas extras</w:t>
                  </w:r>
                  <w:r>
                    <w:rPr>
                      <w:spacing w:val="-3"/>
                    </w:rPr>
                    <w:t xml:space="preserve"> previsto nesta convenção e na legislação vigente.</w:t>
                  </w:r>
                </w:p>
                <w:p w:rsidR="00000000" w:rsidRDefault="00A9002B">
                  <w:pPr>
                    <w:tabs>
                      <w:tab w:val="left" w:pos="-720"/>
                    </w:tabs>
                    <w:suppressAutoHyphens/>
                    <w:spacing w:after="120"/>
                    <w:jc w:val="both"/>
                    <w:rPr>
                      <w:spacing w:val="-3"/>
                    </w:rPr>
                  </w:pPr>
                  <w:r>
                    <w:rPr>
                      <w:b/>
                      <w:spacing w:val="-3"/>
                    </w:rPr>
                    <w:t xml:space="preserve">Parágrafo Terceiro - </w:t>
                  </w:r>
                  <w:r>
                    <w:rPr>
                      <w:spacing w:val="-3"/>
                    </w:rPr>
                    <w:t>Se houver débitos de horas do empregado para com o empregador, na hipótese de rompimento de contrato por iniciativa do empregador, as horas não trabalhadas serão abonadas, sem qualquer</w:t>
                  </w:r>
                  <w:r>
                    <w:rPr>
                      <w:spacing w:val="-3"/>
                    </w:rPr>
                    <w:t xml:space="preserve"> desconto nas verbas a que o trabalhador tiver direito na rescisão de contrato de trabalho.</w:t>
                  </w:r>
                </w:p>
                <w:p w:rsidR="00000000" w:rsidRDefault="00A9002B">
                  <w:pPr>
                    <w:jc w:val="both"/>
                    <w:rPr>
                      <w:spacing w:val="-3"/>
                    </w:rPr>
                  </w:pPr>
                  <w:r>
                    <w:rPr>
                      <w:b/>
                      <w:spacing w:val="-3"/>
                    </w:rPr>
                    <w:t>Parágrafo Quarto -</w:t>
                  </w:r>
                  <w:r>
                    <w:rPr>
                      <w:spacing w:val="-3"/>
                    </w:rPr>
                    <w:tab/>
                    <w:t xml:space="preserve">A faculdade estabelecida no "caput" desta cláusula se aplica a todas as atividades, inclusive aquelas consideradas insalubres, independentemente </w:t>
                  </w:r>
                  <w:r>
                    <w:rPr>
                      <w:spacing w:val="-3"/>
                    </w:rPr>
                    <w:t>da autoriza</w:t>
                  </w:r>
                  <w:r>
                    <w:rPr>
                      <w:spacing w:val="-3"/>
                    </w:rPr>
                    <w:softHyphen/>
                    <w:t>ção a que se refere o artigo 60 da CLT.</w:t>
                  </w:r>
                </w:p>
                <w:p w:rsidR="00000000" w:rsidRDefault="00A9002B">
                  <w:pPr>
                    <w:jc w:val="both"/>
                  </w:pPr>
                  <w:r>
                    <w:rPr>
                      <w:b/>
                    </w:rPr>
                    <w:t xml:space="preserve"> 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CLÁUSULA VIGÉSIMA QUINTA - DISPENSA DO PONTO DE EMPREGADO ESTUDANTE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As empresas abonarão os períodos de ausência do empregado estudante, exclusivamente para a prestação de provas ou exames vestibulares realizados, desde que esteja mesmo matriculado em estabelecimento de ensino oficial ou reconhecido e os exames se realizar</w:t>
                  </w:r>
                  <w:r>
                    <w:t>em no horário total ou parcialmente conflitante com seu turno de trabalho.</w:t>
                  </w:r>
                </w:p>
                <w:p w:rsidR="00000000" w:rsidRDefault="00A9002B">
                  <w:pPr>
                    <w:jc w:val="both"/>
                  </w:pPr>
                </w:p>
                <w:p w:rsidR="00000000" w:rsidRDefault="00A9002B">
                  <w:pPr>
                    <w:jc w:val="both"/>
                  </w:pPr>
                  <w:r>
                    <w:rPr>
                      <w:b/>
                    </w:rPr>
                    <w:t xml:space="preserve">Parágrafo  Único - </w:t>
                  </w:r>
                  <w:r>
                    <w:t>O empregado para gozar deste benefício deverá avisar ao empregador com antecedência mínima de 72 (setenta e duas) horas, obrigado, ainda, a comprovar posteriorme</w:t>
                  </w:r>
                  <w:r>
                    <w:t>nte o fato.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SEXTA - ABONO DE PONTO PARA RECEBIMENTO DE PIS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Fica assegurado aos empregados dispensa do serviço de até 01 (um) dia de trabalho, sem prejuízo salarial, para saque dos rendimentos do Programa de Integração Social (PIS), s</w:t>
                  </w:r>
                  <w:r>
                    <w:t>ervindo o comprovante de recebimento como justificativa para a percepção do salário deste dia, desde que a empresa não faça o pagamento diretamente e uma vez que o empregado comunique com, no mínimo 48 (quarenta e oito) horas de antecedência à empresa ante</w:t>
                  </w:r>
                  <w:r>
                    <w:t>s da dispensa para tanto.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Duração e Concessão de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SÉTIMA - INÍCIO DAS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O início das férias, coletivas ou individuais, não poderá coincidir com dia de sábado, domingo ou feriado, ou, ainda, de compe</w:t>
                  </w:r>
                  <w:r>
                    <w:t>nsação de repouso semanal.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Saúde e Segurança do Trabalhador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Equipamentos de Proteção Individual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OITAVA - EQUIPAMENTOS DE PROTEÇÃO INDIVIDUAL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As empresas fornecerão, gratuitamente e em regime de comodato, a seus empregados, os e</w:t>
                  </w:r>
                  <w:r>
                    <w:t>quipamentos de proteção e segurança obrigatórios, nos termos de legislação especifica sobre higiene e segurança do trabalho.</w:t>
                  </w:r>
                </w:p>
                <w:p w:rsidR="00000000" w:rsidRDefault="00A9002B">
                  <w:pPr>
                    <w:jc w:val="both"/>
                  </w:pPr>
                </w:p>
                <w:p w:rsidR="00000000" w:rsidRDefault="00A9002B">
                  <w:pPr>
                    <w:jc w:val="both"/>
                  </w:pPr>
                  <w:r>
                    <w:rPr>
                      <w:b/>
                    </w:rPr>
                    <w:t xml:space="preserve">Parágrafo Único - </w:t>
                  </w:r>
                  <w:r>
                    <w:t xml:space="preserve"> Os empregados obrigam-se ao uso, manutenção e limpeza adequada dos equipamentos e uniformes que receberem, devo</w:t>
                  </w:r>
                  <w:r>
                    <w:t>lvendo-os por ocasião da rescisão contratual.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Acompanhamento de Acidentado e/ou Portador de Doença Profissional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NONA - INDENIZAÇÃO POR FALTA DE ENCAMINHAMENTO DE ACIDENTE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Toda vez que, por negligência da empresa, o emp</w:t>
                  </w:r>
                  <w:r>
                    <w:t>regado deixar de ser encaminhado ao órgão competente por acidente de trabalho, responderá esta pelos prejuízos daí advindos, se houverem.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Primeiros Socorros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- MATERIAL DE PRIMEIROS SOCORROS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As empresas disponibilizarão materiais básicos de primeiros socorros, assim como programas de prevenção de riscoc ocupacionais e de pronto atendimento em caso de urgências.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Acesso do Sindicato ao Local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TRIGÉS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IMA PRIMEIRA - FISCALIZAÇÃO PELO SINDICATO DOS TRABALHADORES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As empresas permitirão o acesso dos membros do Sindicato Profissional ou de preposto devidamente credenciado através de credencial que será, obrigatoriamente, emitida pelas duas entidades conv</w:t>
                  </w:r>
                  <w:r>
                    <w:t>enentes, pena de invalidade de documentos, com o objetivo de propiciar a fiscalização do cumprimento da presente convenção e a distribuição de boletins e convocação ou convocações do Sindicato laboral, desde que previamente aprovados pela Diretoria da Empr</w:t>
                  </w:r>
                  <w:r>
                    <w:t>esa, e que objetivem o aprimoramento das relações empregado-empresa. O acesso aqui permitido não se realizará sempre que do mesmo decorrer a paralisação de serviços inadiáveis ou que não possam sofrer solução de continuidade.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LÁUSULA TRIGÉSIMA SEGUNDA - DESCONTOS ASSISTENCIAIS - REPASSE AO SINDICATO PROFISSIONAL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As empresas descontarão dos salários base de seus empregados, atingidos ou não pela presente convenção, quatro parcelas de 3% (três por cento), de seus respectivos s</w:t>
                  </w:r>
                  <w:r>
                    <w:t>alarios dos meses de julho/2012, Setembro/2012, Dezembro/2012 e Fevereiro de 2013, comprometendo-se a recolher os valores descontados, até o dia 10/08/2012, 10/10/2012, 10/01/2013 e 10/03/2013, aos cofres do SINDICATO DOS TRABALHADORES NAS INDUSTRIAS DA CO</w:t>
                  </w:r>
                  <w:r>
                    <w:t>NSTRUÇÃO E DO MOBILIÁRIO DE PASSO FUNDO.</w:t>
                  </w:r>
                </w:p>
                <w:p w:rsidR="00000000" w:rsidRDefault="00A9002B">
                  <w:pPr>
                    <w:tabs>
                      <w:tab w:val="num" w:pos="360"/>
                    </w:tabs>
                    <w:ind w:left="340" w:hanging="340"/>
                    <w:jc w:val="both"/>
                  </w:pP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b/>
                      <w:snapToGrid w:val="0"/>
                    </w:rPr>
                    <w:t>parágrafo Primeiro</w:t>
                  </w:r>
                  <w:r>
                    <w:rPr>
                      <w:rFonts w:eastAsia="Times New Roman"/>
                      <w:snapToGrid w:val="0"/>
                    </w:rPr>
                    <w:t xml:space="preserve">: </w:t>
                  </w:r>
                  <w:r>
                    <w:rPr>
                      <w:rFonts w:eastAsia="Times New Roman"/>
                    </w:rPr>
                    <w:t xml:space="preserve">O não recolhimento das contribuições nos prazos previstos acima implicará no pagamento de multa de 10% (dez por cento) por parte da empresa infratora, além de juros de mora de 1% (um por cento) </w:t>
                  </w:r>
                  <w:r>
                    <w:rPr>
                      <w:rFonts w:eastAsia="Times New Roman"/>
                    </w:rPr>
                    <w:t>ao mês.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A9002B">
                  <w:pPr>
                    <w:jc w:val="both"/>
                  </w:pPr>
                  <w:r>
                    <w:rPr>
                      <w:rStyle w:val="Forte"/>
                    </w:rPr>
                    <w:t>Parágrafo Segundo:</w:t>
                  </w:r>
                  <w:r>
                    <w:t xml:space="preserve"> Para efeito do estabelecido na presente cláusula, fica ressalvado o direito de oposição do empregado que deverá ser efetuado, pessoalmente junto ao Sindicato Profissional até dez dias antes ao primeiro pagamento reajustado.</w:t>
                  </w:r>
                </w:p>
                <w:p w:rsidR="00000000" w:rsidRDefault="00A9002B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ÁUSULA TRIGÉSIMA TERCEIRA - CONTRIBUIÇÕES PARA CUSTEIO DE DESPESAS DO SINDICATO ECONÔMICO </w:t>
                  </w:r>
                </w:p>
                <w:p w:rsidR="00000000" w:rsidRDefault="00A9002B">
                  <w:pPr>
                    <w:jc w:val="both"/>
                  </w:pPr>
                  <w:r>
                    <w:lastRenderedPageBreak/>
                    <w:t>As empresas abrangidas pela presente convenção repassarão aos cofres do Sindicato das Indústrias de Mármores e Granitos do Estado do Rio Grande do Sul uma contribu</w:t>
                  </w:r>
                  <w:r>
                    <w:t>ição para custeio de suas despesas no valor de R$ 25,00 (vinte e cinco reais) por empregado profissional ou administrativo constante da folha de pagamento dos meses de junho e outubro de 2012, bem como repassarão nos mesmos meses antes citados, ao mesmo Si</w:t>
                  </w:r>
                  <w:r>
                    <w:t>ndicato Patronal, o valor de R$ 17,00 (dezesete reais) por empregado que não seja enquadrado como profissional e constante da folha de pagamento dos meses de junho e outubro de 2012.</w:t>
                  </w:r>
                </w:p>
                <w:p w:rsidR="00000000" w:rsidRDefault="00A9002B">
                  <w:pPr>
                    <w:jc w:val="both"/>
                  </w:pPr>
                </w:p>
                <w:p w:rsidR="00000000" w:rsidRDefault="00A9002B">
                  <w:pPr>
                    <w:jc w:val="both"/>
                  </w:pPr>
                  <w:r>
                    <w:rPr>
                      <w:b/>
                    </w:rPr>
                    <w:t xml:space="preserve">Parágrafo Primeiro - </w:t>
                  </w:r>
                  <w:r>
                    <w:t xml:space="preserve"> Os recolhimentos serão processados até 30 de junho</w:t>
                  </w:r>
                  <w:r>
                    <w:t xml:space="preserve"> de 2012 e 30 de novembro de 2012, respectivamente.</w:t>
                  </w:r>
                </w:p>
                <w:p w:rsidR="00000000" w:rsidRDefault="00A9002B">
                  <w:pPr>
                    <w:jc w:val="both"/>
                  </w:pPr>
                  <w:r>
                    <w:rPr>
                      <w:b/>
                    </w:rPr>
                    <w:t xml:space="preserve">Parágrafo Segundo - </w:t>
                  </w:r>
                  <w:r>
                    <w:t xml:space="preserve"> Em hipótese de não serem processados os recolhimentos, o empregador que assim proceder, deverá pagar ao Sindicato das Indústrias de Mármores e Granitos e Rochas Ornamentais do estado </w:t>
                  </w:r>
                  <w:r>
                    <w:t>do Rio Grande do Sul a contribuição acrescida de atualização monetária aplicada pelo INPC/IBGE do período de atraso, acrescido do valor atualizado os juros de mora pela taxa SELIC, aplicado por fim, uma multa de 2% (dois por cento) sobre o montante já atua</w:t>
                  </w:r>
                  <w:r>
                    <w:t xml:space="preserve">lizado. 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QUARTA - PROVA DE QUITAÇÃO DAS CONTRIBUIÇÕES AOS SINDICATOS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Todas as empresas que venham a exercer atividades na base territorial englobada pela presente revisão deverão comprovar estarem quite com as contribuições aos Sind</w:t>
                  </w:r>
                  <w:r>
                    <w:t>icatos Profissional e Econômico quando buscarem a assistência as rescisões no Sindicato Profissional, sob pena de não homologação da rescisão.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relação entre sindicato e empresa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QUINTA - QUADRO DE AVISOS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As empresas designarão um lugar acessível aos trabalhadores para que o Sindicato Profissional divulgue comunicados e esclarecimentos, devendo ditos comunicados e esclarecimentos serem previamente aprovados pela direção das empresas e afixados no local dest</w:t>
                  </w:r>
                  <w:r>
                    <w:t>inado.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Regras para a Negociação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SEXTA - NEGOCIAÇÃO- ACORDO COLETIVO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 xml:space="preserve">Em casos de necessidade temporária e excepcional o Sindicato Profissional poderá estudar juntamente com a empresa respectiva a </w:t>
                  </w:r>
                  <w:r>
                    <w:t>adoção de um regime de trabalho compensatório diferenciado, enquanto perdurar essa situação.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Aplicação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SÉTIMA - EXIGIBILIDADE DE CLÁUSULAS PREVISTAS NA PRESENTE CONVENÇÃO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Fica convencionado que as cláusula</w:t>
                  </w:r>
                  <w:r>
                    <w:t xml:space="preserve">s constantes da presente convenção somente serão aplicáveis e exigíveis após o depósito da mesma em órgão competente, o que as partes comprometem-se a fazê-lo </w:t>
                  </w:r>
                  <w:r>
                    <w:lastRenderedPageBreak/>
                    <w:t>conjuntamente no prazo legal.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Descumprimento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TRIGÉSIMA OITA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VA - MULTA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 xml:space="preserve">Fica estabelecida uma multa por descumprimento de cláusulas da presente Convenção Coletiva de Trabalho que contenham obrigação de fazer correspondente a 5% (cinco por cento) do salário normativo da função previsto neste acordo, por empregado </w:t>
                  </w:r>
                  <w:r>
                    <w:t>prejudicado, observadas, antes da aplicação desta multa, as seguintes condições:</w:t>
                  </w:r>
                </w:p>
                <w:p w:rsidR="00000000" w:rsidRDefault="00A9002B">
                  <w:pPr>
                    <w:jc w:val="both"/>
                  </w:pPr>
                </w:p>
                <w:p w:rsidR="00000000" w:rsidRDefault="00A9002B">
                  <w:pPr>
                    <w:jc w:val="both"/>
                  </w:pPr>
                  <w:r>
                    <w:rPr>
                      <w:b/>
                    </w:rPr>
                    <w:t xml:space="preserve">Parágrafo Primeiro- </w:t>
                  </w:r>
                  <w:r>
                    <w:t xml:space="preserve"> Constatada irregularidades pelo Sindicato Profissional, deverá o mesmo informar, em forma de ofício, à empresa presumivelmente irregular, concedendo um p</w:t>
                  </w:r>
                  <w:r>
                    <w:t>razo de 05 (cinco) dias para que esta regularize a situação;</w:t>
                  </w:r>
                </w:p>
                <w:p w:rsidR="00000000" w:rsidRDefault="00A9002B">
                  <w:pPr>
                    <w:jc w:val="both"/>
                  </w:pPr>
                </w:p>
                <w:p w:rsidR="00000000" w:rsidRDefault="00A9002B">
                  <w:pPr>
                    <w:jc w:val="both"/>
                  </w:pPr>
                  <w:r>
                    <w:rPr>
                      <w:b/>
                    </w:rPr>
                    <w:t xml:space="preserve">Parágrafo Segundo- </w:t>
                  </w:r>
                  <w:r>
                    <w:t xml:space="preserve"> </w:t>
                  </w:r>
                  <w:r>
                    <w:t xml:space="preserve">Não regularizada a situação após o procedimento anterior, será devida a multa prevista no </w:t>
                  </w:r>
                  <w:r>
                    <w:t></w:t>
                  </w:r>
                  <w:r>
                    <w:t>caput desta cláusula.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NONA - COMINAÇÕES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Na vigência da pre</w:t>
                  </w:r>
                  <w:r>
                    <w:t>sente Convenção Coletiva de Trabalho as combinações para eventuais infrações serão aqui estipuladas e/ou que tenham previsão legal.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9002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- DIVERGÊNCIAS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jc w:val="both"/>
                  </w:pPr>
                  <w:r>
                    <w:t>Qualquer divergência na aplicação das normas da presente con</w:t>
                  </w:r>
                  <w:r>
                    <w:t>venção deverá ser resolvida exclusivamente pela Justiça do trabalho, ficando reconhecida a legitimidade dos convenentes para ajuizar ação visando o cumprimento da presente.</w:t>
                  </w:r>
                </w:p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PRIMEIRA - FORMA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9002B">
                  <w:pPr>
                    <w:pStyle w:val="inicio"/>
                    <w:spacing w:before="0" w:beforeAutospacing="0" w:after="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t>Este instrumento é transmitido pelo SIS</w:t>
                  </w:r>
                  <w:r>
                    <w:t>TEMA MEDIADOR, o qual é validado em seu teor e forma pelo requerimento assinado pelos Presidentes e/ou Procuradores dos Sindicatos Convenentes e o seu devido depósito junto a DRT-RS.</w:t>
                  </w:r>
                </w:p>
                <w:p w:rsidR="00000000" w:rsidRDefault="00A9002B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9002B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EDSON PEREIRA DE FREITAS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SINDICATO TRABALH INDUST CON ST MOBILARIO PASSO FUNDO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lastRenderedPageBreak/>
                          <w:t xml:space="preserve">ALEXANDRE BITTENCOURT DE CARLI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DAS INDUSTRIAS DE MARMORES, GRANITOS E ROCHAS ORNAMENTAIS DO ESTADO DO RIO GRANDE DO SUL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A9002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A9002B">
            <w:pPr>
              <w:rPr>
                <w:rFonts w:eastAsia="Times New Roman"/>
              </w:rPr>
            </w:pPr>
          </w:p>
        </w:tc>
      </w:tr>
    </w:tbl>
    <w:p w:rsidR="00A9002B" w:rsidRDefault="00A9002B">
      <w:pPr>
        <w:rPr>
          <w:rFonts w:eastAsia="Times New Roman"/>
        </w:rPr>
      </w:pPr>
    </w:p>
    <w:sectPr w:rsidR="00A9002B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6825C8"/>
    <w:rsid w:val="006825C8"/>
    <w:rsid w:val="00A9002B"/>
    <w:rsid w:val="00CE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eastAsiaTheme="minorEastAsia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rFonts w:eastAsiaTheme="minorEastAsia"/>
      <w:sz w:val="24"/>
      <w:szCs w:val="24"/>
    </w:rPr>
  </w:style>
  <w:style w:type="paragraph" w:customStyle="1" w:styleId="inicio">
    <w:name w:val="inicio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3902</Words>
  <Characters>21077</Characters>
  <Application>Microsoft Office Word</Application>
  <DocSecurity>0</DocSecurity>
  <Lines>175</Lines>
  <Paragraphs>49</Paragraphs>
  <ScaleCrop>false</ScaleCrop>
  <Company/>
  <LinksUpToDate>false</LinksUpToDate>
  <CharactersWithSpaces>24930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Convenção Coletiva</dc:title>
  <dc:creator>atendimento01</dc:creator>
  <cp:lastModifiedBy>atendimento01</cp:lastModifiedBy>
  <cp:revision>2</cp:revision>
  <dcterms:created xsi:type="dcterms:W3CDTF">2014-09-02T13:05:00Z</dcterms:created>
  <dcterms:modified xsi:type="dcterms:W3CDTF">2014-09-02T13:05:00Z</dcterms:modified>
</cp:coreProperties>
</file>